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DF" w:rsidRPr="00181714" w:rsidRDefault="00310BDF" w:rsidP="00CD4672">
      <w:pPr>
        <w:jc w:val="center"/>
        <w:rPr>
          <w:b/>
          <w:sz w:val="32"/>
        </w:rPr>
      </w:pPr>
      <w:r w:rsidRPr="00181714">
        <w:rPr>
          <w:b/>
          <w:sz w:val="32"/>
        </w:rPr>
        <w:t xml:space="preserve">Group Based </w:t>
      </w:r>
      <w:r w:rsidR="00D818A5" w:rsidRPr="00181714">
        <w:rPr>
          <w:b/>
          <w:sz w:val="32"/>
        </w:rPr>
        <w:t>Learning and Evaluation using</w:t>
      </w:r>
      <w:r w:rsidRPr="00181714">
        <w:rPr>
          <w:b/>
          <w:sz w:val="32"/>
        </w:rPr>
        <w:t xml:space="preserve"> One Page Reports</w:t>
      </w:r>
    </w:p>
    <w:p w:rsidR="00310BDF" w:rsidRPr="00CD4672" w:rsidRDefault="006F3930">
      <w:pPr>
        <w:rPr>
          <w:sz w:val="20"/>
        </w:rPr>
      </w:pPr>
      <w:r w:rsidRPr="00181714">
        <w:rPr>
          <w:b/>
          <w:sz w:val="24"/>
        </w:rPr>
        <w:t>Groups</w:t>
      </w:r>
      <w:r w:rsidR="00181714">
        <w:rPr>
          <w:b/>
          <w:sz w:val="24"/>
        </w:rPr>
        <w:t xml:space="preserve"> -</w:t>
      </w:r>
      <w:r w:rsidRPr="00CD4672">
        <w:rPr>
          <w:sz w:val="20"/>
        </w:rPr>
        <w:t xml:space="preserve"> </w:t>
      </w:r>
      <w:r w:rsidR="00310BDF" w:rsidRPr="00CD4672">
        <w:rPr>
          <w:sz w:val="20"/>
        </w:rPr>
        <w:t>In the world outside education, many decisions are made by groups of people who bring different perspectives to the problem at hand. Thus, group based</w:t>
      </w:r>
      <w:r w:rsidR="00181714">
        <w:rPr>
          <w:sz w:val="20"/>
        </w:rPr>
        <w:t>,</w:t>
      </w:r>
      <w:r w:rsidR="00310BDF" w:rsidRPr="00CD4672">
        <w:rPr>
          <w:sz w:val="20"/>
        </w:rPr>
        <w:t xml:space="preserve"> collaborative </w:t>
      </w:r>
      <w:r w:rsidR="00181714">
        <w:rPr>
          <w:sz w:val="20"/>
        </w:rPr>
        <w:t>learning, and evaluation, provide</w:t>
      </w:r>
      <w:r w:rsidR="00310BDF" w:rsidRPr="00CD4672">
        <w:rPr>
          <w:sz w:val="20"/>
        </w:rPr>
        <w:t xml:space="preserve"> a strong motivation to explore the available information</w:t>
      </w:r>
      <w:r w:rsidR="00D818A5" w:rsidRPr="00CD4672">
        <w:rPr>
          <w:sz w:val="20"/>
        </w:rPr>
        <w:t>,</w:t>
      </w:r>
      <w:r w:rsidR="00310BDF" w:rsidRPr="00CD4672">
        <w:rPr>
          <w:sz w:val="20"/>
        </w:rPr>
        <w:t xml:space="preserve"> and training for future employment. </w:t>
      </w:r>
      <w:r w:rsidR="00DB3DD4">
        <w:rPr>
          <w:sz w:val="20"/>
        </w:rPr>
        <w:t>Informal study groups</w:t>
      </w:r>
      <w:r w:rsidR="007F0033">
        <w:rPr>
          <w:sz w:val="20"/>
        </w:rPr>
        <w:t xml:space="preserve"> are common in higher education; this process is simply a formalization of the</w:t>
      </w:r>
      <w:r w:rsidR="00745845">
        <w:rPr>
          <w:sz w:val="20"/>
        </w:rPr>
        <w:t xml:space="preserve"> usual</w:t>
      </w:r>
      <w:r w:rsidR="007F0033">
        <w:rPr>
          <w:sz w:val="20"/>
        </w:rPr>
        <w:t xml:space="preserve"> practice.</w:t>
      </w:r>
    </w:p>
    <w:p w:rsidR="00310BDF" w:rsidRPr="00CD4672" w:rsidRDefault="006F3930">
      <w:pPr>
        <w:rPr>
          <w:b/>
        </w:rPr>
      </w:pPr>
      <w:r w:rsidRPr="00181714">
        <w:rPr>
          <w:b/>
          <w:sz w:val="24"/>
        </w:rPr>
        <w:t>One Page Reports</w:t>
      </w:r>
      <w:r w:rsidR="00DB3DD4">
        <w:rPr>
          <w:b/>
          <w:sz w:val="24"/>
        </w:rPr>
        <w:t xml:space="preserve"> - </w:t>
      </w:r>
      <w:r w:rsidR="00181714">
        <w:rPr>
          <w:sz w:val="20"/>
        </w:rPr>
        <w:t>Industrial r</w:t>
      </w:r>
      <w:r w:rsidR="00310BDF" w:rsidRPr="00CD4672">
        <w:rPr>
          <w:sz w:val="20"/>
        </w:rPr>
        <w:t xml:space="preserve">ecipients of reports, like academics, prefer to read the first page (or summary) first and move on to more detail where necessary. </w:t>
      </w:r>
      <w:r w:rsidRPr="00CD4672">
        <w:rPr>
          <w:sz w:val="20"/>
        </w:rPr>
        <w:t>Thus a</w:t>
      </w:r>
      <w:r w:rsidR="00F32246">
        <w:rPr>
          <w:sz w:val="20"/>
        </w:rPr>
        <w:t xml:space="preserve"> succinct,</w:t>
      </w:r>
      <w:r w:rsidRPr="00CD4672">
        <w:rPr>
          <w:sz w:val="20"/>
        </w:rPr>
        <w:t xml:space="preserve"> semi structured reporting format is a useful communication tool. </w:t>
      </w:r>
    </w:p>
    <w:p w:rsidR="00F32246" w:rsidRDefault="006F3930" w:rsidP="00DB3DD4">
      <w:pPr>
        <w:rPr>
          <w:sz w:val="20"/>
        </w:rPr>
      </w:pPr>
      <w:r w:rsidRPr="00CD4672">
        <w:rPr>
          <w:sz w:val="20"/>
        </w:rPr>
        <w:t xml:space="preserve">“One page reports” must include: a title, </w:t>
      </w:r>
      <w:r w:rsidR="00F32246">
        <w:rPr>
          <w:sz w:val="20"/>
        </w:rPr>
        <w:t xml:space="preserve">course reference, </w:t>
      </w:r>
      <w:r w:rsidRPr="00CD4672">
        <w:rPr>
          <w:sz w:val="20"/>
        </w:rPr>
        <w:t>the identity of the author, a date and reference</w:t>
      </w:r>
      <w:r w:rsidR="007F0033">
        <w:rPr>
          <w:sz w:val="20"/>
        </w:rPr>
        <w:t xml:space="preserve"> / background</w:t>
      </w:r>
      <w:r w:rsidRPr="00CD4672">
        <w:rPr>
          <w:sz w:val="20"/>
        </w:rPr>
        <w:t xml:space="preserve"> ma</w:t>
      </w:r>
      <w:r w:rsidR="007F0033">
        <w:rPr>
          <w:sz w:val="20"/>
        </w:rPr>
        <w:t xml:space="preserve">terial. </w:t>
      </w:r>
      <w:r w:rsidR="00181714">
        <w:rPr>
          <w:sz w:val="20"/>
        </w:rPr>
        <w:t>In general, the content should include – i</w:t>
      </w:r>
      <w:r w:rsidR="00585C6D">
        <w:rPr>
          <w:sz w:val="20"/>
        </w:rPr>
        <w:t>ntroduction</w:t>
      </w:r>
      <w:r w:rsidR="00181714">
        <w:rPr>
          <w:sz w:val="20"/>
        </w:rPr>
        <w:t>, evidence, analysis, discussion and conclusions.</w:t>
      </w:r>
      <w:r w:rsidR="00DB3DD4" w:rsidRPr="00DB3DD4">
        <w:rPr>
          <w:sz w:val="20"/>
        </w:rPr>
        <w:t xml:space="preserve"> </w:t>
      </w:r>
      <w:r w:rsidR="00DB3DD4">
        <w:rPr>
          <w:sz w:val="20"/>
        </w:rPr>
        <w:t>The report</w:t>
      </w:r>
      <w:r w:rsidR="00DB3DD4" w:rsidRPr="00CD4672">
        <w:rPr>
          <w:sz w:val="20"/>
        </w:rPr>
        <w:t xml:space="preserve"> </w:t>
      </w:r>
      <w:r w:rsidR="00DB3DD4">
        <w:rPr>
          <w:sz w:val="20"/>
        </w:rPr>
        <w:t>should</w:t>
      </w:r>
      <w:r w:rsidR="00DB3DD4">
        <w:rPr>
          <w:sz w:val="20"/>
        </w:rPr>
        <w:t xml:space="preserve"> </w:t>
      </w:r>
      <w:r w:rsidR="007F0033">
        <w:rPr>
          <w:sz w:val="20"/>
        </w:rPr>
        <w:t>make good use of</w:t>
      </w:r>
      <w:r w:rsidR="00DB3DD4">
        <w:rPr>
          <w:sz w:val="20"/>
        </w:rPr>
        <w:t xml:space="preserve"> words, pictures, charts, diagrams, tables etc.</w:t>
      </w:r>
    </w:p>
    <w:p w:rsidR="00F32246" w:rsidRDefault="006F3930">
      <w:pPr>
        <w:rPr>
          <w:sz w:val="20"/>
        </w:rPr>
      </w:pPr>
      <w:r w:rsidRPr="00181714">
        <w:rPr>
          <w:b/>
          <w:sz w:val="24"/>
        </w:rPr>
        <w:t>Collaborative Learning</w:t>
      </w:r>
      <w:r w:rsidR="00CD4672" w:rsidRPr="00181714">
        <w:rPr>
          <w:sz w:val="24"/>
        </w:rPr>
        <w:t xml:space="preserve"> </w:t>
      </w:r>
      <w:r w:rsidR="00181714">
        <w:rPr>
          <w:sz w:val="20"/>
        </w:rPr>
        <w:t xml:space="preserve">- </w:t>
      </w:r>
      <w:r w:rsidRPr="00CD4672">
        <w:rPr>
          <w:sz w:val="20"/>
        </w:rPr>
        <w:t xml:space="preserve">Groups of between 3 and 6 students will be established and </w:t>
      </w:r>
      <w:r w:rsidR="00585C6D">
        <w:rPr>
          <w:sz w:val="20"/>
        </w:rPr>
        <w:t xml:space="preserve">their names </w:t>
      </w:r>
      <w:r w:rsidRPr="00CD4672">
        <w:rPr>
          <w:sz w:val="20"/>
        </w:rPr>
        <w:t>communicated to the professor at the beginning of the course.</w:t>
      </w:r>
      <w:r w:rsidR="00F32246">
        <w:rPr>
          <w:sz w:val="20"/>
        </w:rPr>
        <w:t xml:space="preserve"> </w:t>
      </w:r>
      <w:r w:rsidR="00DA78ED" w:rsidRPr="00CD4672">
        <w:rPr>
          <w:sz w:val="20"/>
        </w:rPr>
        <w:t xml:space="preserve">During the class, the professor presents key material followed by a question. The students in the group then discuss the topic, add their own perspective and present a collective response. </w:t>
      </w:r>
      <w:r w:rsidR="00DB3DD4">
        <w:rPr>
          <w:sz w:val="20"/>
        </w:rPr>
        <w:t xml:space="preserve">Following </w:t>
      </w:r>
      <w:r w:rsidR="00DA78ED" w:rsidRPr="00CD4672">
        <w:rPr>
          <w:sz w:val="20"/>
        </w:rPr>
        <w:t xml:space="preserve">each class the student groups each </w:t>
      </w:r>
      <w:r w:rsidR="00585C6D">
        <w:rPr>
          <w:sz w:val="20"/>
        </w:rPr>
        <w:t>submit</w:t>
      </w:r>
      <w:r w:rsidR="00D818A5" w:rsidRPr="00CD4672">
        <w:rPr>
          <w:sz w:val="20"/>
        </w:rPr>
        <w:t xml:space="preserve"> </w:t>
      </w:r>
      <w:r w:rsidR="00DB3DD4">
        <w:rPr>
          <w:sz w:val="20"/>
        </w:rPr>
        <w:t>a one page report.</w:t>
      </w:r>
    </w:p>
    <w:p w:rsidR="007F0033" w:rsidRDefault="00DB3DD4">
      <w:pPr>
        <w:rPr>
          <w:sz w:val="20"/>
        </w:rPr>
      </w:pPr>
      <w:r w:rsidRPr="00DB3DD4">
        <w:rPr>
          <w:b/>
          <w:sz w:val="24"/>
        </w:rPr>
        <w:t>Posters</w:t>
      </w:r>
      <w:r>
        <w:rPr>
          <w:sz w:val="20"/>
        </w:rPr>
        <w:t xml:space="preserve"> - </w:t>
      </w:r>
      <w:r w:rsidR="00D818A5" w:rsidRPr="00CD4672">
        <w:rPr>
          <w:sz w:val="20"/>
        </w:rPr>
        <w:t xml:space="preserve">At the end of the course the groups produce a comprehensive poster that reflects the </w:t>
      </w:r>
      <w:r w:rsidR="00585C6D">
        <w:rPr>
          <w:sz w:val="20"/>
        </w:rPr>
        <w:t>key points of the course, or a pertinent case study.</w:t>
      </w:r>
      <w:r w:rsidR="00D818A5" w:rsidRPr="00CD4672">
        <w:rPr>
          <w:sz w:val="20"/>
        </w:rPr>
        <w:t xml:space="preserve"> </w:t>
      </w:r>
    </w:p>
    <w:p w:rsidR="007F0033" w:rsidRPr="007F0033" w:rsidRDefault="007F0033">
      <w:pPr>
        <w:rPr>
          <w:b/>
          <w:sz w:val="20"/>
        </w:rPr>
      </w:pPr>
      <w:r w:rsidRPr="007F0033">
        <w:rPr>
          <w:b/>
          <w:sz w:val="24"/>
        </w:rPr>
        <w:t>Evaluation</w:t>
      </w:r>
      <w:r>
        <w:rPr>
          <w:b/>
          <w:sz w:val="24"/>
        </w:rPr>
        <w:t xml:space="preserve"> -</w:t>
      </w:r>
      <w:r w:rsidRPr="007F0033">
        <w:rPr>
          <w:sz w:val="20"/>
        </w:rPr>
        <w:t xml:space="preserve"> </w:t>
      </w:r>
      <w:r w:rsidRPr="00CD4672">
        <w:rPr>
          <w:sz w:val="20"/>
        </w:rPr>
        <w:t xml:space="preserve">The </w:t>
      </w:r>
      <w:r>
        <w:rPr>
          <w:sz w:val="20"/>
        </w:rPr>
        <w:t xml:space="preserve">one page reports and </w:t>
      </w:r>
      <w:r w:rsidRPr="00CD4672">
        <w:rPr>
          <w:sz w:val="20"/>
        </w:rPr>
        <w:t xml:space="preserve">posters </w:t>
      </w:r>
      <w:r w:rsidR="00585C6D">
        <w:rPr>
          <w:sz w:val="20"/>
        </w:rPr>
        <w:t>are</w:t>
      </w:r>
      <w:r>
        <w:rPr>
          <w:sz w:val="20"/>
        </w:rPr>
        <w:t xml:space="preserve"> judged </w:t>
      </w:r>
      <w:r w:rsidRPr="00CD4672">
        <w:rPr>
          <w:sz w:val="20"/>
        </w:rPr>
        <w:t>by</w:t>
      </w:r>
      <w:r w:rsidRPr="00CD4672">
        <w:rPr>
          <w:sz w:val="20"/>
        </w:rPr>
        <w:t xml:space="preserve"> the teacher and</w:t>
      </w:r>
      <w:r>
        <w:rPr>
          <w:sz w:val="20"/>
        </w:rPr>
        <w:t>, perhaps</w:t>
      </w:r>
      <w:r w:rsidR="00585C6D">
        <w:rPr>
          <w:sz w:val="20"/>
        </w:rPr>
        <w:t>,</w:t>
      </w:r>
      <w:r>
        <w:rPr>
          <w:sz w:val="20"/>
        </w:rPr>
        <w:t xml:space="preserve"> </w:t>
      </w:r>
      <w:r w:rsidRPr="00CD4672">
        <w:rPr>
          <w:sz w:val="20"/>
        </w:rPr>
        <w:t>the class</w:t>
      </w:r>
      <w:r>
        <w:rPr>
          <w:sz w:val="20"/>
        </w:rPr>
        <w:t xml:space="preserve"> members</w:t>
      </w:r>
      <w:r w:rsidRPr="00CD4672">
        <w:rPr>
          <w:sz w:val="20"/>
        </w:rPr>
        <w:t>. The f</w:t>
      </w:r>
      <w:r>
        <w:rPr>
          <w:sz w:val="20"/>
        </w:rPr>
        <w:t xml:space="preserve">ollowing template </w:t>
      </w:r>
      <w:r w:rsidRPr="00CD4672">
        <w:rPr>
          <w:sz w:val="20"/>
        </w:rPr>
        <w:t>should provide sufficient and reliable evaluation with a total between 0 and 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20"/>
        <w:gridCol w:w="3221"/>
        <w:gridCol w:w="2440"/>
      </w:tblGrid>
      <w:tr w:rsidR="00F31458" w:rsidRPr="00CD4672" w:rsidTr="00CD4672">
        <w:tc>
          <w:tcPr>
            <w:tcW w:w="355" w:type="dxa"/>
          </w:tcPr>
          <w:p w:rsidR="00F31458" w:rsidRPr="00CD4672" w:rsidRDefault="00F32246" w:rsidP="00F32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Score</w:t>
            </w:r>
          </w:p>
        </w:tc>
        <w:tc>
          <w:tcPr>
            <w:tcW w:w="3150" w:type="dxa"/>
          </w:tcPr>
          <w:p w:rsidR="00F31458" w:rsidRPr="00CD4672" w:rsidRDefault="00F31458" w:rsidP="00CD4672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>Breadth</w:t>
            </w:r>
          </w:p>
        </w:tc>
        <w:tc>
          <w:tcPr>
            <w:tcW w:w="3330" w:type="dxa"/>
          </w:tcPr>
          <w:p w:rsidR="00F31458" w:rsidRPr="00CD4672" w:rsidRDefault="00F31458" w:rsidP="00CD4672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>Depth</w:t>
            </w:r>
          </w:p>
        </w:tc>
        <w:tc>
          <w:tcPr>
            <w:tcW w:w="2515" w:type="dxa"/>
          </w:tcPr>
          <w:p w:rsidR="00F31458" w:rsidRPr="00CD4672" w:rsidRDefault="00F31458" w:rsidP="00CD4672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>Presentation</w:t>
            </w:r>
          </w:p>
        </w:tc>
      </w:tr>
      <w:tr w:rsidR="00F31458" w:rsidRPr="00CD4672" w:rsidTr="00CD4672">
        <w:tc>
          <w:tcPr>
            <w:tcW w:w="355" w:type="dxa"/>
          </w:tcPr>
          <w:p w:rsidR="00F31458" w:rsidRPr="00CD4672" w:rsidRDefault="00F31458" w:rsidP="00F32246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>3</w:t>
            </w:r>
          </w:p>
        </w:tc>
        <w:tc>
          <w:tcPr>
            <w:tcW w:w="3150" w:type="dxa"/>
          </w:tcPr>
          <w:p w:rsidR="00F31458" w:rsidRPr="00CD4672" w:rsidRDefault="00F31458" w:rsidP="00CD4672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>Places topic in broader context with examples, cases and references</w:t>
            </w:r>
          </w:p>
        </w:tc>
        <w:tc>
          <w:tcPr>
            <w:tcW w:w="3330" w:type="dxa"/>
          </w:tcPr>
          <w:p w:rsidR="00F31458" w:rsidRPr="00CD4672" w:rsidRDefault="00F31458" w:rsidP="00CD4672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>Presents sufficient details of purpose, theory, methods, evidence, analysis and recommendations</w:t>
            </w:r>
          </w:p>
        </w:tc>
        <w:tc>
          <w:tcPr>
            <w:tcW w:w="2515" w:type="dxa"/>
          </w:tcPr>
          <w:p w:rsidR="00F31458" w:rsidRPr="00CD4672" w:rsidRDefault="00F31458" w:rsidP="00585C6D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 xml:space="preserve">Presents an attractive, clear, easily navigable and quickly assimilated image to the </w:t>
            </w:r>
            <w:r w:rsidR="00585C6D">
              <w:rPr>
                <w:sz w:val="20"/>
              </w:rPr>
              <w:t>observer.</w:t>
            </w:r>
          </w:p>
        </w:tc>
      </w:tr>
      <w:tr w:rsidR="00F31458" w:rsidRPr="00CD4672" w:rsidTr="00CD4672">
        <w:tc>
          <w:tcPr>
            <w:tcW w:w="355" w:type="dxa"/>
          </w:tcPr>
          <w:p w:rsidR="00F31458" w:rsidRPr="00CD4672" w:rsidRDefault="00F31458" w:rsidP="00F32246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>2</w:t>
            </w:r>
          </w:p>
        </w:tc>
        <w:tc>
          <w:tcPr>
            <w:tcW w:w="3150" w:type="dxa"/>
          </w:tcPr>
          <w:p w:rsidR="00F31458" w:rsidRPr="00CD4672" w:rsidRDefault="00F31458" w:rsidP="00CD4672">
            <w:pPr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F31458" w:rsidRPr="00CD4672" w:rsidRDefault="00F31458" w:rsidP="00CD4672">
            <w:pPr>
              <w:jc w:val="center"/>
              <w:rPr>
                <w:sz w:val="20"/>
              </w:rPr>
            </w:pPr>
          </w:p>
        </w:tc>
        <w:tc>
          <w:tcPr>
            <w:tcW w:w="2515" w:type="dxa"/>
          </w:tcPr>
          <w:p w:rsidR="00F31458" w:rsidRPr="00CD4672" w:rsidRDefault="00F31458" w:rsidP="00CD4672">
            <w:pPr>
              <w:jc w:val="center"/>
              <w:rPr>
                <w:sz w:val="20"/>
              </w:rPr>
            </w:pPr>
          </w:p>
        </w:tc>
      </w:tr>
      <w:tr w:rsidR="00F31458" w:rsidRPr="00CD4672" w:rsidTr="00CD4672">
        <w:tc>
          <w:tcPr>
            <w:tcW w:w="355" w:type="dxa"/>
          </w:tcPr>
          <w:p w:rsidR="00F31458" w:rsidRPr="00CD4672" w:rsidRDefault="00F31458" w:rsidP="00F32246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>1</w:t>
            </w:r>
          </w:p>
        </w:tc>
        <w:tc>
          <w:tcPr>
            <w:tcW w:w="3150" w:type="dxa"/>
          </w:tcPr>
          <w:p w:rsidR="00F31458" w:rsidRPr="00CD4672" w:rsidRDefault="00F31458" w:rsidP="00CD4672">
            <w:pPr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:rsidR="00F31458" w:rsidRPr="00CD4672" w:rsidRDefault="00F31458" w:rsidP="00CD4672">
            <w:pPr>
              <w:jc w:val="center"/>
              <w:rPr>
                <w:sz w:val="20"/>
              </w:rPr>
            </w:pPr>
          </w:p>
        </w:tc>
        <w:tc>
          <w:tcPr>
            <w:tcW w:w="2515" w:type="dxa"/>
          </w:tcPr>
          <w:p w:rsidR="00F31458" w:rsidRPr="00CD4672" w:rsidRDefault="00F31458" w:rsidP="00CD4672">
            <w:pPr>
              <w:jc w:val="center"/>
              <w:rPr>
                <w:sz w:val="20"/>
              </w:rPr>
            </w:pPr>
          </w:p>
        </w:tc>
      </w:tr>
      <w:tr w:rsidR="00F31458" w:rsidRPr="00CD4672" w:rsidTr="00CD4672">
        <w:tc>
          <w:tcPr>
            <w:tcW w:w="355" w:type="dxa"/>
          </w:tcPr>
          <w:p w:rsidR="00F31458" w:rsidRPr="00CD4672" w:rsidRDefault="00F31458" w:rsidP="00F32246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>0</w:t>
            </w:r>
          </w:p>
        </w:tc>
        <w:tc>
          <w:tcPr>
            <w:tcW w:w="3150" w:type="dxa"/>
          </w:tcPr>
          <w:p w:rsidR="00F31458" w:rsidRPr="00CD4672" w:rsidRDefault="00F31458" w:rsidP="00CD4672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>Simply regurgitates class material</w:t>
            </w:r>
            <w:r w:rsidR="00CD4672" w:rsidRPr="00CD4672">
              <w:rPr>
                <w:sz w:val="20"/>
              </w:rPr>
              <w:t>, without analysis or  elaboration</w:t>
            </w:r>
          </w:p>
        </w:tc>
        <w:tc>
          <w:tcPr>
            <w:tcW w:w="3330" w:type="dxa"/>
          </w:tcPr>
          <w:p w:rsidR="00F31458" w:rsidRPr="00CD4672" w:rsidRDefault="00CD4672" w:rsidP="00CD4672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>Omits underlying theory, presents insufficient evidence and applies minimal analysis</w:t>
            </w:r>
          </w:p>
        </w:tc>
        <w:tc>
          <w:tcPr>
            <w:tcW w:w="2515" w:type="dxa"/>
          </w:tcPr>
          <w:p w:rsidR="00F31458" w:rsidRPr="00CD4672" w:rsidRDefault="00CD4672" w:rsidP="00CD4672">
            <w:pPr>
              <w:jc w:val="center"/>
              <w:rPr>
                <w:sz w:val="20"/>
              </w:rPr>
            </w:pPr>
            <w:r w:rsidRPr="00CD4672">
              <w:rPr>
                <w:sz w:val="20"/>
              </w:rPr>
              <w:t>Unimaginative presentation with minimal references or links.</w:t>
            </w:r>
          </w:p>
        </w:tc>
      </w:tr>
    </w:tbl>
    <w:p w:rsidR="00DB3DD4" w:rsidRDefault="00DB3DD4">
      <w:pPr>
        <w:rPr>
          <w:sz w:val="20"/>
        </w:rPr>
      </w:pPr>
    </w:p>
    <w:p w:rsidR="00D818A5" w:rsidRPr="00CD4672" w:rsidRDefault="00D818A5">
      <w:pPr>
        <w:rPr>
          <w:sz w:val="20"/>
        </w:rPr>
      </w:pPr>
      <w:r w:rsidRPr="00CD4672">
        <w:rPr>
          <w:sz w:val="20"/>
        </w:rPr>
        <w:t xml:space="preserve">The activity </w:t>
      </w:r>
      <w:r w:rsidR="00F31458" w:rsidRPr="00CD4672">
        <w:rPr>
          <w:sz w:val="20"/>
        </w:rPr>
        <w:t xml:space="preserve">should </w:t>
      </w:r>
      <w:r w:rsidRPr="00CD4672">
        <w:rPr>
          <w:sz w:val="20"/>
        </w:rPr>
        <w:t>be collaborative as all the group members get the same grade.</w:t>
      </w:r>
      <w:r w:rsidR="00F31458" w:rsidRPr="00CD4672">
        <w:rPr>
          <w:sz w:val="20"/>
        </w:rPr>
        <w:t xml:space="preserve"> Within group variation should be ignored as such requirements are likely to be divisive.</w:t>
      </w:r>
      <w:r w:rsidR="008620A5">
        <w:rPr>
          <w:sz w:val="20"/>
        </w:rPr>
        <w:t xml:space="preserve"> After the course,</w:t>
      </w:r>
      <w:bookmarkStart w:id="0" w:name="_GoBack"/>
      <w:bookmarkEnd w:id="0"/>
      <w:r w:rsidR="008620A5">
        <w:rPr>
          <w:sz w:val="20"/>
        </w:rPr>
        <w:t xml:space="preserve"> students should be invited to offer their reflections on course content and format.</w:t>
      </w:r>
    </w:p>
    <w:p w:rsidR="00CD4672" w:rsidRPr="00181714" w:rsidRDefault="00DA78ED">
      <w:pPr>
        <w:rPr>
          <w:b/>
        </w:rPr>
      </w:pPr>
      <w:r w:rsidRPr="00181714">
        <w:rPr>
          <w:b/>
          <w:sz w:val="24"/>
        </w:rPr>
        <w:t xml:space="preserve">E-Learning </w:t>
      </w:r>
      <w:r w:rsidR="00181714">
        <w:rPr>
          <w:sz w:val="20"/>
        </w:rPr>
        <w:t xml:space="preserve">- </w:t>
      </w:r>
      <w:r w:rsidR="00CD4672" w:rsidRPr="00CD4672">
        <w:rPr>
          <w:sz w:val="20"/>
        </w:rPr>
        <w:t xml:space="preserve">The methods described above are </w:t>
      </w:r>
      <w:r w:rsidR="00DB3DD4">
        <w:rPr>
          <w:sz w:val="20"/>
        </w:rPr>
        <w:t xml:space="preserve">readily </w:t>
      </w:r>
      <w:r w:rsidR="00CD4672" w:rsidRPr="00CD4672">
        <w:rPr>
          <w:sz w:val="20"/>
        </w:rPr>
        <w:t xml:space="preserve">adaptable for e-learning – both </w:t>
      </w:r>
      <w:r w:rsidR="00DB3DD4">
        <w:rPr>
          <w:sz w:val="20"/>
        </w:rPr>
        <w:t xml:space="preserve">for </w:t>
      </w:r>
      <w:r w:rsidR="00CD4672" w:rsidRPr="00CD4672">
        <w:rPr>
          <w:sz w:val="20"/>
        </w:rPr>
        <w:t>communication between the teacher and students and within the student groups</w:t>
      </w:r>
      <w:r w:rsidR="00F32246">
        <w:rPr>
          <w:sz w:val="20"/>
        </w:rPr>
        <w:t>. The Internet provides a rich source of information, but overt plagiarism should be discouraged</w:t>
      </w:r>
      <w:r w:rsidR="00181714">
        <w:rPr>
          <w:sz w:val="20"/>
        </w:rPr>
        <w:t>. Note that education, from one perspective, is plagiarism.</w:t>
      </w:r>
    </w:p>
    <w:sectPr w:rsidR="00CD4672" w:rsidRPr="0018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DF"/>
    <w:rsid w:val="00181714"/>
    <w:rsid w:val="00310BDF"/>
    <w:rsid w:val="00585C6D"/>
    <w:rsid w:val="006F3930"/>
    <w:rsid w:val="00745845"/>
    <w:rsid w:val="007F0033"/>
    <w:rsid w:val="008620A5"/>
    <w:rsid w:val="00AF397D"/>
    <w:rsid w:val="00CD4672"/>
    <w:rsid w:val="00D818A5"/>
    <w:rsid w:val="00DA78ED"/>
    <w:rsid w:val="00DB3DD4"/>
    <w:rsid w:val="00DE79D4"/>
    <w:rsid w:val="00F31458"/>
    <w:rsid w:val="00F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F21D"/>
  <w15:chartTrackingRefBased/>
  <w15:docId w15:val="{7FB5ED4D-84AB-4049-868E-9FC58B63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Peacock</dc:creator>
  <cp:keywords/>
  <dc:description/>
  <cp:lastModifiedBy>Brian Peacock</cp:lastModifiedBy>
  <cp:revision>6</cp:revision>
  <dcterms:created xsi:type="dcterms:W3CDTF">2020-03-10T04:21:00Z</dcterms:created>
  <dcterms:modified xsi:type="dcterms:W3CDTF">2020-03-10T06:17:00Z</dcterms:modified>
</cp:coreProperties>
</file>